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97" w:rsidRPr="00EF3D0A" w:rsidRDefault="002F6197" w:rsidP="002F6197">
      <w:pPr>
        <w:pStyle w:val="NoSpacing"/>
        <w:ind w:left="-567" w:right="-567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EF3D0A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2F6197" w:rsidRPr="007563ED" w:rsidRDefault="002F6197" w:rsidP="002F6197">
      <w:pPr>
        <w:pStyle w:val="Heading1"/>
        <w:shd w:val="clear" w:color="auto" w:fill="FFFFFF"/>
        <w:spacing w:before="0" w:beforeAutospacing="0" w:after="0" w:afterAutospacing="0" w:line="288" w:lineRule="atLeast"/>
        <w:textAlignment w:val="baseline"/>
        <w:rPr>
          <w:rFonts w:ascii="SCG" w:hAnsi="SCG" w:cs="SCG"/>
          <w:b w:val="0"/>
          <w:bCs w:val="0"/>
          <w:sz w:val="26"/>
          <w:szCs w:val="26"/>
          <w:shd w:val="clear" w:color="auto" w:fill="FFFFFF"/>
        </w:rPr>
      </w:pPr>
    </w:p>
    <w:p w:rsidR="00B20386" w:rsidRPr="003B4BAA" w:rsidRDefault="00EF7077" w:rsidP="00B20386">
      <w:pPr>
        <w:pStyle w:val="Heading1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Theme="minorBidi" w:hAnsiTheme="minorBidi" w:cstheme="minorBidi"/>
          <w:sz w:val="32"/>
          <w:szCs w:val="32"/>
        </w:rPr>
      </w:pPr>
      <w:bookmarkStart w:id="0" w:name="_GoBack"/>
      <w:r w:rsidRPr="003B4BAA">
        <w:rPr>
          <w:rFonts w:asciiTheme="minorBidi" w:hAnsiTheme="minorBidi" w:cstheme="minorBidi"/>
          <w:sz w:val="32"/>
          <w:szCs w:val="32"/>
          <w:cs/>
        </w:rPr>
        <w:t xml:space="preserve">เอสซีจีได้รับรางวัล </w:t>
      </w:r>
      <w:r w:rsidRPr="003B4BAA">
        <w:rPr>
          <w:rFonts w:asciiTheme="minorBidi" w:hAnsiTheme="minorBidi" w:cstheme="minorBidi"/>
          <w:sz w:val="32"/>
          <w:szCs w:val="32"/>
        </w:rPr>
        <w:t>South and South East Asia Innovation Awards</w:t>
      </w:r>
      <w:r w:rsidR="00E93AD1" w:rsidRPr="003B4BAA">
        <w:rPr>
          <w:rFonts w:asciiTheme="minorBidi" w:hAnsiTheme="minorBidi" w:cstheme="minorBidi"/>
          <w:sz w:val="32"/>
          <w:szCs w:val="32"/>
          <w:cs/>
        </w:rPr>
        <w:t xml:space="preserve"> ประจำปี 2563</w:t>
      </w:r>
    </w:p>
    <w:bookmarkEnd w:id="0"/>
    <w:p w:rsidR="00B20386" w:rsidRPr="003B4BAA" w:rsidRDefault="00B20386" w:rsidP="00B20386">
      <w:pPr>
        <w:pStyle w:val="Heading1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Theme="minorBidi" w:hAnsiTheme="minorBidi" w:cstheme="minorBidi"/>
          <w:sz w:val="32"/>
          <w:szCs w:val="32"/>
        </w:rPr>
      </w:pPr>
      <w:r w:rsidRPr="003B4BAA">
        <w:rPr>
          <w:rFonts w:asciiTheme="minorBidi" w:hAnsiTheme="minorBidi" w:cstheme="minorBidi"/>
          <w:sz w:val="32"/>
          <w:szCs w:val="32"/>
          <w:cs/>
        </w:rPr>
        <w:t>ใน</w:t>
      </w:r>
      <w:r w:rsidR="002F6197" w:rsidRPr="003B4BAA">
        <w:rPr>
          <w:rFonts w:asciiTheme="minorBidi" w:hAnsiTheme="minorBidi" w:cstheme="minorBidi"/>
          <w:sz w:val="32"/>
          <w:szCs w:val="32"/>
          <w:cs/>
        </w:rPr>
        <w:t>การเป็น</w:t>
      </w:r>
      <w:r w:rsidRPr="003B4BAA">
        <w:rPr>
          <w:rFonts w:asciiTheme="minorBidi" w:hAnsiTheme="minorBidi" w:cstheme="minorBidi"/>
          <w:sz w:val="32"/>
          <w:szCs w:val="32"/>
          <w:cs/>
        </w:rPr>
        <w:t>องค์กร</w:t>
      </w:r>
      <w:r w:rsidR="002F6197" w:rsidRPr="003B4BAA">
        <w:rPr>
          <w:rFonts w:asciiTheme="minorBidi" w:hAnsiTheme="minorBidi" w:cstheme="minorBidi"/>
          <w:sz w:val="32"/>
          <w:szCs w:val="32"/>
          <w:cs/>
        </w:rPr>
        <w:t>ผู้นำด้าน</w:t>
      </w:r>
      <w:r w:rsidR="00E93AD1" w:rsidRPr="003B4BAA">
        <w:rPr>
          <w:rFonts w:asciiTheme="minorBidi" w:hAnsiTheme="minorBidi" w:cstheme="minorBidi"/>
          <w:sz w:val="32"/>
          <w:szCs w:val="32"/>
          <w:cs/>
        </w:rPr>
        <w:t>การพัฒ</w:t>
      </w:r>
      <w:r w:rsidRPr="003B4BAA">
        <w:rPr>
          <w:rFonts w:asciiTheme="minorBidi" w:hAnsiTheme="minorBidi" w:cstheme="minorBidi"/>
          <w:sz w:val="32"/>
          <w:szCs w:val="32"/>
          <w:cs/>
        </w:rPr>
        <w:t>น</w:t>
      </w:r>
      <w:r w:rsidR="00E93AD1" w:rsidRPr="003B4BAA">
        <w:rPr>
          <w:rFonts w:asciiTheme="minorBidi" w:hAnsiTheme="minorBidi" w:cstheme="minorBidi"/>
          <w:sz w:val="32"/>
          <w:szCs w:val="32"/>
          <w:cs/>
        </w:rPr>
        <w:t>าน</w:t>
      </w:r>
      <w:r w:rsidRPr="003B4BAA">
        <w:rPr>
          <w:rFonts w:asciiTheme="minorBidi" w:hAnsiTheme="minorBidi" w:cstheme="minorBidi"/>
          <w:sz w:val="32"/>
          <w:szCs w:val="32"/>
          <w:cs/>
        </w:rPr>
        <w:t xml:space="preserve">วัตกรรมและทรัพย์สินทางปัญญา </w:t>
      </w:r>
    </w:p>
    <w:p w:rsidR="00E93AD1" w:rsidRPr="003B4BAA" w:rsidRDefault="00B20386" w:rsidP="00E93AD1">
      <w:pPr>
        <w:pStyle w:val="Heading1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Theme="minorBidi" w:hAnsiTheme="minorBidi" w:cstheme="minorBidi"/>
          <w:sz w:val="32"/>
          <w:szCs w:val="32"/>
        </w:rPr>
      </w:pPr>
      <w:r w:rsidRPr="003B4BAA">
        <w:rPr>
          <w:rFonts w:asciiTheme="minorBidi" w:hAnsiTheme="minorBidi" w:cstheme="minorBidi"/>
          <w:sz w:val="32"/>
          <w:szCs w:val="32"/>
          <w:cs/>
        </w:rPr>
        <w:t>(</w:t>
      </w:r>
      <w:r w:rsidRPr="003B4BAA">
        <w:rPr>
          <w:rFonts w:asciiTheme="minorBidi" w:hAnsiTheme="minorBidi" w:cstheme="minorBidi"/>
          <w:sz w:val="32"/>
          <w:szCs w:val="32"/>
        </w:rPr>
        <w:t>Leading Innovation &amp; Intellectual Property Organization</w:t>
      </w:r>
      <w:r w:rsidRPr="003B4BAA">
        <w:rPr>
          <w:rFonts w:asciiTheme="minorBidi" w:hAnsiTheme="minorBidi" w:cstheme="minorBidi"/>
          <w:sz w:val="32"/>
          <w:szCs w:val="32"/>
          <w:cs/>
        </w:rPr>
        <w:t>)</w:t>
      </w:r>
    </w:p>
    <w:p w:rsidR="00E93AD1" w:rsidRPr="00E93AD1" w:rsidRDefault="00E93AD1" w:rsidP="00E93AD1">
      <w:pPr>
        <w:pStyle w:val="Heading1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SCG" w:hAnsi="SCG" w:cs="SCG"/>
          <w:b w:val="0"/>
          <w:bCs w:val="0"/>
          <w:sz w:val="24"/>
          <w:szCs w:val="24"/>
        </w:rPr>
      </w:pPr>
    </w:p>
    <w:p w:rsidR="00016D74" w:rsidRDefault="001C6113" w:rsidP="00E93AD1">
      <w:pPr>
        <w:pStyle w:val="ListParagraph"/>
        <w:spacing w:after="120"/>
        <w:ind w:left="1080"/>
        <w:jc w:val="thaiDistribute"/>
        <w:rPr>
          <w:rFonts w:ascii="Angsana New" w:hAnsi="Angsana New"/>
          <w:b/>
          <w:bCs/>
          <w:noProof/>
          <w:sz w:val="28"/>
        </w:rPr>
      </w:pPr>
      <w:r>
        <w:rPr>
          <w:noProof/>
          <w:cs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4464050</wp:posOffset>
            </wp:positionH>
            <wp:positionV relativeFrom="paragraph">
              <wp:posOffset>191770</wp:posOffset>
            </wp:positionV>
            <wp:extent cx="1500505" cy="1000125"/>
            <wp:effectExtent l="2540" t="0" r="6985" b="6985"/>
            <wp:wrapTight wrapText="bothSides">
              <wp:wrapPolygon edited="0">
                <wp:start x="37" y="21655"/>
                <wp:lineTo x="21426" y="21655"/>
                <wp:lineTo x="21426" y="261"/>
                <wp:lineTo x="37" y="261"/>
                <wp:lineTo x="37" y="21655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0050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3387725</wp:posOffset>
            </wp:positionH>
            <wp:positionV relativeFrom="paragraph">
              <wp:posOffset>180975</wp:posOffset>
            </wp:positionV>
            <wp:extent cx="1511300" cy="1008380"/>
            <wp:effectExtent l="381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1130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s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930910</wp:posOffset>
            </wp:positionH>
            <wp:positionV relativeFrom="paragraph">
              <wp:posOffset>389890</wp:posOffset>
            </wp:positionV>
            <wp:extent cx="2689860" cy="1792605"/>
            <wp:effectExtent l="0" t="8573" r="6668" b="6667"/>
            <wp:wrapTight wrapText="bothSides">
              <wp:wrapPolygon edited="0">
                <wp:start x="-69" y="21497"/>
                <wp:lineTo x="21501" y="21497"/>
                <wp:lineTo x="21501" y="149"/>
                <wp:lineTo x="-69" y="149"/>
                <wp:lineTo x="-69" y="2149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89860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1487170</wp:posOffset>
            </wp:positionV>
            <wp:extent cx="3244215" cy="1139825"/>
            <wp:effectExtent l="0" t="0" r="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EA225CF">
            <wp:simplePos x="0" y="0"/>
            <wp:positionH relativeFrom="margin">
              <wp:posOffset>2484120</wp:posOffset>
            </wp:positionH>
            <wp:positionV relativeFrom="paragraph">
              <wp:posOffset>571500</wp:posOffset>
            </wp:positionV>
            <wp:extent cx="1116330" cy="333375"/>
            <wp:effectExtent l="0" t="0" r="762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AD1" w:rsidRPr="00BA4FC5" w:rsidRDefault="00E93AD1" w:rsidP="00BA4FC5">
      <w:pPr>
        <w:spacing w:after="120"/>
        <w:jc w:val="thaiDistribute"/>
        <w:rPr>
          <w:rFonts w:ascii="Angsana New" w:hAnsi="Angsana New"/>
          <w:b/>
          <w:bCs/>
          <w:noProof/>
          <w:sz w:val="28"/>
        </w:rPr>
      </w:pPr>
    </w:p>
    <w:p w:rsidR="006B6260" w:rsidRPr="001C6113" w:rsidRDefault="006B6260" w:rsidP="001C6113">
      <w:pPr>
        <w:pStyle w:val="ListParagraph"/>
        <w:spacing w:after="120"/>
        <w:ind w:left="1080"/>
        <w:jc w:val="thaiDistribute"/>
        <w:rPr>
          <w:rFonts w:ascii="Angsana New" w:hAnsi="Angsana New"/>
          <w:b/>
          <w:bCs/>
          <w:noProof/>
          <w:sz w:val="28"/>
        </w:rPr>
      </w:pPr>
    </w:p>
    <w:p w:rsidR="00AA0FC6" w:rsidRDefault="00AA0FC6" w:rsidP="00AA0FC6">
      <w:pPr>
        <w:shd w:val="clear" w:color="auto" w:fill="FFFFFF"/>
        <w:spacing w:line="276" w:lineRule="auto"/>
        <w:jc w:val="thaiDistribute"/>
        <w:rPr>
          <w:rFonts w:ascii="SCG" w:hAnsi="SCG" w:cs="SCG"/>
          <w:b/>
          <w:bCs/>
        </w:rPr>
      </w:pPr>
    </w:p>
    <w:p w:rsidR="00AA0FC6" w:rsidRDefault="00AA0FC6" w:rsidP="00AA0FC6">
      <w:pPr>
        <w:rPr>
          <w:rFonts w:ascii="SCG" w:hAnsi="SCG" w:cs="SCG"/>
        </w:rPr>
      </w:pPr>
    </w:p>
    <w:p w:rsidR="00EB0419" w:rsidRDefault="00EB0419" w:rsidP="00AA0FC6">
      <w:pPr>
        <w:rPr>
          <w:rFonts w:ascii="SCG" w:hAnsi="SCG" w:cs="SCG"/>
        </w:rPr>
      </w:pPr>
    </w:p>
    <w:p w:rsidR="00AA0FC6" w:rsidRDefault="00AA0FC6" w:rsidP="00AA0FC6">
      <w:pPr>
        <w:rPr>
          <w:rFonts w:ascii="SCG" w:hAnsi="SCG" w:cs="SCG"/>
        </w:rPr>
      </w:pPr>
    </w:p>
    <w:p w:rsidR="00AA0FC6" w:rsidRPr="00AA0FC6" w:rsidRDefault="00AA0FC6" w:rsidP="00AA0FC6">
      <w:pPr>
        <w:rPr>
          <w:rFonts w:ascii="SCG" w:hAnsi="SCG" w:cs="SCG"/>
        </w:rPr>
      </w:pPr>
    </w:p>
    <w:p w:rsidR="00BA4FC5" w:rsidRDefault="00BA4FC5" w:rsidP="007563ED">
      <w:pPr>
        <w:shd w:val="clear" w:color="auto" w:fill="FFFFFF"/>
        <w:spacing w:line="276" w:lineRule="auto"/>
        <w:ind w:firstLine="720"/>
        <w:jc w:val="thaiDistribute"/>
        <w:rPr>
          <w:rFonts w:ascii="SCG" w:hAnsi="SCG" w:cs="SCG"/>
          <w:b/>
          <w:bCs/>
        </w:rPr>
      </w:pPr>
    </w:p>
    <w:p w:rsidR="00BA4FC5" w:rsidRDefault="00BA4FC5" w:rsidP="00787EA7">
      <w:pPr>
        <w:shd w:val="clear" w:color="auto" w:fill="FFFFFF"/>
        <w:spacing w:line="276" w:lineRule="auto"/>
        <w:jc w:val="thaiDistribute"/>
        <w:rPr>
          <w:rFonts w:ascii="SCG" w:hAnsi="SCG" w:cs="SCG"/>
          <w:b/>
          <w:bCs/>
        </w:rPr>
      </w:pPr>
    </w:p>
    <w:p w:rsidR="00787EA7" w:rsidRDefault="00787EA7" w:rsidP="00787EA7">
      <w:pPr>
        <w:shd w:val="clear" w:color="auto" w:fill="FFFFFF"/>
        <w:spacing w:line="276" w:lineRule="auto"/>
        <w:jc w:val="thaiDistribute"/>
        <w:rPr>
          <w:rFonts w:ascii="SCG" w:hAnsi="SCG" w:cs="SCG"/>
          <w:b/>
          <w:bCs/>
        </w:rPr>
      </w:pPr>
    </w:p>
    <w:p w:rsidR="006B6260" w:rsidRPr="003B4BAA" w:rsidRDefault="003B4BAA" w:rsidP="003B4BAA">
      <w:pPr>
        <w:shd w:val="clear" w:color="auto" w:fill="FFFFFF"/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cs/>
        </w:rPr>
        <w:t>เอสซีจี โดย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นายประกิจ วรวัฒนนนท์ 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</w:rPr>
        <w:t>Corporate Innovation Director</w:t>
      </w:r>
      <w:r w:rsidR="007563ED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 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เอสซีจี เข้าร่วมรับรางวัล 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</w:rPr>
        <w:t>South and South East Asia Innovation Awards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 </w:t>
      </w:r>
      <w:r w:rsidR="007563ED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ประจำปี </w:t>
      </w:r>
      <w:r w:rsidR="007563ED" w:rsidRPr="003B4BAA">
        <w:rPr>
          <w:rFonts w:asciiTheme="minorBidi" w:hAnsiTheme="minorBidi" w:cstheme="minorBidi"/>
          <w:b/>
          <w:bCs/>
          <w:sz w:val="28"/>
          <w:szCs w:val="28"/>
        </w:rPr>
        <w:t xml:space="preserve">2563 </w:t>
      </w:r>
      <w:r w:rsidR="007563ED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ในการเป็นองค์กรผู้นำด้านการพัฒนานวัตกรรมและทรัพย์สินทางปัญญา 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>(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</w:rPr>
        <w:t>Leading Innovation &amp; Intellectual Property Organization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>)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7563ED" w:rsidRPr="003B4BAA">
        <w:rPr>
          <w:rFonts w:asciiTheme="minorBidi" w:hAnsiTheme="minorBidi" w:cstheme="minorBidi"/>
          <w:sz w:val="28"/>
          <w:szCs w:val="28"/>
          <w:cs/>
        </w:rPr>
        <w:t>จัดขึ้น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 xml:space="preserve">โดยบริษัท </w:t>
      </w:r>
      <w:r w:rsidR="00242E91" w:rsidRPr="003B4BAA">
        <w:rPr>
          <w:rFonts w:asciiTheme="minorBidi" w:hAnsiTheme="minorBidi" w:cstheme="minorBidi"/>
          <w:sz w:val="28"/>
          <w:szCs w:val="28"/>
        </w:rPr>
        <w:t xml:space="preserve">Clarivate 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 xml:space="preserve">ซึ่งเป็นบริษัทชั้นนำระดับโลกด้าน </w:t>
      </w:r>
      <w:r w:rsidR="006B6260" w:rsidRPr="003B4BAA">
        <w:rPr>
          <w:rFonts w:asciiTheme="minorBidi" w:hAnsiTheme="minorBidi" w:cstheme="minorBidi"/>
          <w:sz w:val="28"/>
          <w:szCs w:val="28"/>
        </w:rPr>
        <w:t>Innovation</w:t>
      </w:r>
      <w:r w:rsidR="007B039A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7B039A" w:rsidRPr="003B4BAA">
        <w:rPr>
          <w:rFonts w:asciiTheme="minorBidi" w:hAnsiTheme="minorBidi" w:cstheme="minorBidi"/>
          <w:sz w:val="28"/>
          <w:szCs w:val="28"/>
        </w:rPr>
        <w:t xml:space="preserve">Solution </w:t>
      </w:r>
      <w:r w:rsidR="007B039A" w:rsidRPr="003B4BAA">
        <w:rPr>
          <w:rFonts w:asciiTheme="minorBidi" w:hAnsiTheme="minorBidi" w:cstheme="minorBidi"/>
          <w:sz w:val="28"/>
          <w:szCs w:val="28"/>
          <w:cs/>
        </w:rPr>
        <w:t xml:space="preserve">และทรัพย์สินทางปัญญา </w:t>
      </w:r>
      <w:r w:rsidR="006B6260" w:rsidRPr="003B4BAA">
        <w:rPr>
          <w:rFonts w:asciiTheme="minorBidi" w:hAnsiTheme="minorBidi" w:cstheme="minorBidi"/>
          <w:b/>
          <w:bCs/>
          <w:sz w:val="28"/>
          <w:szCs w:val="28"/>
          <w:cs/>
        </w:rPr>
        <w:t xml:space="preserve"> ซึ่งเอสซีจีเป็นบริษัทแห่งเดียวในประเทศไทยที่ได้รับรางวัลนี้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7563ED" w:rsidRPr="003B4BAA">
        <w:rPr>
          <w:rFonts w:asciiTheme="minorBidi" w:hAnsiTheme="minorBidi" w:cstheme="minorBidi"/>
          <w:sz w:val="28"/>
          <w:szCs w:val="28"/>
          <w:cs/>
        </w:rPr>
        <w:t>มีการ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>คัดเลือกจาก</w:t>
      </w:r>
      <w:r w:rsidR="009047FE" w:rsidRPr="003B4BAA">
        <w:rPr>
          <w:rFonts w:asciiTheme="minorBidi" w:hAnsiTheme="minorBidi" w:cstheme="minorBidi"/>
          <w:sz w:val="28"/>
          <w:szCs w:val="28"/>
          <w:cs/>
        </w:rPr>
        <w:t>ผู้นำทางด้าน</w:t>
      </w:r>
      <w:r w:rsidR="00FA79FE" w:rsidRPr="003B4BAA">
        <w:rPr>
          <w:rFonts w:asciiTheme="minorBidi" w:hAnsiTheme="minorBidi" w:cstheme="minorBidi"/>
          <w:sz w:val="28"/>
          <w:szCs w:val="28"/>
          <w:cs/>
        </w:rPr>
        <w:t xml:space="preserve">นวัตกรรม </w:t>
      </w:r>
      <w:r w:rsidR="009047FE" w:rsidRPr="003B4BAA">
        <w:rPr>
          <w:rFonts w:asciiTheme="minorBidi" w:hAnsiTheme="minorBidi" w:cstheme="minorBidi"/>
          <w:sz w:val="28"/>
          <w:szCs w:val="28"/>
          <w:cs/>
        </w:rPr>
        <w:t>สิ่งประดิษฐ์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 xml:space="preserve"> คุณภาพ</w:t>
      </w:r>
      <w:r w:rsidR="009047FE" w:rsidRPr="003B4BAA">
        <w:rPr>
          <w:rFonts w:asciiTheme="minorBidi" w:hAnsiTheme="minorBidi" w:cstheme="minorBidi"/>
          <w:sz w:val="28"/>
          <w:szCs w:val="28"/>
          <w:cs/>
        </w:rPr>
        <w:t>และจำนวน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>สิทธิบัตรที่ได้รับการคุ้มครอง โดยคัดเลือก</w:t>
      </w:r>
      <w:r w:rsidR="009047FE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8202B6" w:rsidRPr="003B4BAA">
        <w:rPr>
          <w:rFonts w:asciiTheme="minorBidi" w:hAnsiTheme="minorBidi" w:cstheme="minorBidi"/>
          <w:sz w:val="28"/>
          <w:szCs w:val="28"/>
        </w:rPr>
        <w:t xml:space="preserve">28 </w:t>
      </w:r>
      <w:r w:rsidR="008202B6" w:rsidRPr="003B4BAA">
        <w:rPr>
          <w:rFonts w:asciiTheme="minorBidi" w:hAnsiTheme="minorBidi" w:cstheme="minorBidi"/>
          <w:sz w:val="28"/>
          <w:szCs w:val="28"/>
          <w:cs/>
        </w:rPr>
        <w:t xml:space="preserve">บริษัทที่ได้รับรางวัล </w:t>
      </w:r>
      <w:r w:rsidR="006B6260" w:rsidRPr="003B4BAA">
        <w:rPr>
          <w:rFonts w:asciiTheme="minorBidi" w:hAnsiTheme="minorBidi" w:cstheme="minorBidi"/>
          <w:sz w:val="28"/>
          <w:szCs w:val="28"/>
          <w:cs/>
        </w:rPr>
        <w:t>จากบริษัทชั้นนำมากกว่า 238 บริษัทใน</w:t>
      </w:r>
      <w:r w:rsidR="007563ED" w:rsidRPr="003B4BAA">
        <w:rPr>
          <w:rFonts w:asciiTheme="minorBidi" w:hAnsiTheme="minorBidi" w:cstheme="minorBidi"/>
          <w:sz w:val="28"/>
          <w:szCs w:val="28"/>
          <w:cs/>
        </w:rPr>
        <w:t>ภูมิภาคเอเชียใต้และเอเชียตะวันออกเฉียงใต้</w:t>
      </w:r>
    </w:p>
    <w:p w:rsidR="009047FE" w:rsidRPr="003B4BAA" w:rsidRDefault="006B6260" w:rsidP="007563ED">
      <w:pPr>
        <w:shd w:val="clear" w:color="auto" w:fill="FFFFFF"/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3B4BAA">
        <w:rPr>
          <w:rFonts w:asciiTheme="minorBidi" w:hAnsiTheme="minorBidi" w:cstheme="minorBidi"/>
          <w:b/>
          <w:bCs/>
          <w:sz w:val="28"/>
          <w:szCs w:val="28"/>
          <w:cs/>
        </w:rPr>
        <w:t>โดยรางวัลดังกล่าวเป็นการแสดงให้เห็นถึงความสำเร็จของเอสซีจีที่มีความมุ่งมั่นสร้างสรรค์นวัตกรรม</w:t>
      </w:r>
      <w:r w:rsidR="009C4DEB" w:rsidRPr="003B4BAA">
        <w:rPr>
          <w:rFonts w:asciiTheme="minorBidi" w:hAnsiTheme="minorBidi" w:cstheme="minorBidi"/>
          <w:b/>
          <w:bCs/>
          <w:sz w:val="28"/>
          <w:szCs w:val="28"/>
          <w:cs/>
        </w:rPr>
        <w:t>อย่างสม่ำเสมอ เพื่อตอบโจทย์ความต้องการของลูกค้า สังคม สิ่งแวดล้อม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 xml:space="preserve"> ทั้งด้านการวิจัยและพัฒนา</w:t>
      </w:r>
      <w:r w:rsidR="00C26911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 xml:space="preserve">พร้อมสนับสนุนความร่วมมือต่างๆ ในรูปแบบ </w:t>
      </w:r>
      <w:r w:rsidR="009C4DEB" w:rsidRPr="003B4BAA">
        <w:rPr>
          <w:rFonts w:asciiTheme="minorBidi" w:hAnsiTheme="minorBidi" w:cstheme="minorBidi"/>
          <w:sz w:val="28"/>
          <w:szCs w:val="28"/>
        </w:rPr>
        <w:t>Open Innovation</w:t>
      </w:r>
      <w:r w:rsidR="00C26911" w:rsidRPr="003B4BAA">
        <w:rPr>
          <w:rFonts w:asciiTheme="minorBidi" w:hAnsiTheme="minorBidi" w:cstheme="minorBidi"/>
          <w:sz w:val="28"/>
          <w:szCs w:val="28"/>
          <w:cs/>
        </w:rPr>
        <w:t xml:space="preserve"> อาทิ</w:t>
      </w:r>
      <w:r w:rsidR="007563ED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C26911" w:rsidRPr="003B4BAA">
        <w:rPr>
          <w:rFonts w:asciiTheme="minorBidi" w:hAnsiTheme="minorBidi" w:cstheme="minorBidi"/>
          <w:sz w:val="28"/>
          <w:szCs w:val="28"/>
          <w:cs/>
        </w:rPr>
        <w:t>ร่วมมือกับสถาบันการศึกษาและสถาบันวิจัยทั้งในประเทศและต่างประเทศ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C26911" w:rsidRPr="003B4BAA">
        <w:rPr>
          <w:rFonts w:asciiTheme="minorBidi" w:hAnsiTheme="minorBidi" w:cstheme="minorBidi"/>
          <w:sz w:val="28"/>
          <w:szCs w:val="28"/>
          <w:cs/>
        </w:rPr>
        <w:t>รวมถึง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ขยายการลงทุน (</w:t>
      </w:r>
      <w:r w:rsidR="009C4DEB" w:rsidRPr="003B4BAA">
        <w:rPr>
          <w:rFonts w:asciiTheme="minorBidi" w:hAnsiTheme="minorBidi" w:cstheme="minorBidi"/>
          <w:sz w:val="28"/>
          <w:szCs w:val="28"/>
        </w:rPr>
        <w:t>Investment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)</w:t>
      </w:r>
      <w:r w:rsidR="004F4959" w:rsidRPr="003B4BAA">
        <w:rPr>
          <w:rFonts w:asciiTheme="minorBidi" w:hAnsiTheme="minorBidi" w:cstheme="minorBidi"/>
          <w:sz w:val="28"/>
          <w:szCs w:val="28"/>
          <w:cs/>
        </w:rPr>
        <w:t xml:space="preserve"> ใน </w:t>
      </w:r>
      <w:r w:rsidR="004F4959" w:rsidRPr="003B4BAA">
        <w:rPr>
          <w:rFonts w:asciiTheme="minorBidi" w:hAnsiTheme="minorBidi" w:cstheme="minorBidi"/>
          <w:sz w:val="28"/>
          <w:szCs w:val="28"/>
        </w:rPr>
        <w:t>Fund of Fund</w:t>
      </w:r>
      <w:r w:rsidR="00242E91" w:rsidRPr="003B4BAA">
        <w:rPr>
          <w:rFonts w:asciiTheme="minorBidi" w:hAnsiTheme="minorBidi" w:cstheme="minorBidi"/>
          <w:sz w:val="28"/>
          <w:szCs w:val="28"/>
        </w:rPr>
        <w:t>s</w:t>
      </w:r>
      <w:r w:rsidR="004F4959" w:rsidRPr="003B4BAA">
        <w:rPr>
          <w:rFonts w:asciiTheme="minorBidi" w:hAnsiTheme="minorBidi" w:cstheme="minorBidi"/>
          <w:sz w:val="28"/>
          <w:szCs w:val="28"/>
          <w:cs/>
        </w:rPr>
        <w:t xml:space="preserve"> และสตาร์ทอัพที่มีศักยภาพสูง</w:t>
      </w:r>
      <w:r w:rsidR="009047FE" w:rsidRPr="003B4BAA">
        <w:rPr>
          <w:rFonts w:asciiTheme="minorBidi" w:hAnsiTheme="minorBidi" w:cstheme="minorBidi"/>
          <w:sz w:val="28"/>
          <w:szCs w:val="28"/>
          <w:cs/>
        </w:rPr>
        <w:t xml:space="preserve"> เพื่อเพิ่มขีดความสามารถทางการแข่งขัน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และพัฒนานวัตกรรม</w:t>
      </w:r>
      <w:r w:rsidR="00116DF0" w:rsidRPr="003B4BAA">
        <w:rPr>
          <w:rFonts w:asciiTheme="minorBidi" w:hAnsiTheme="minorBidi" w:cstheme="minorBidi"/>
          <w:sz w:val="28"/>
          <w:szCs w:val="28"/>
          <w:cs/>
        </w:rPr>
        <w:t xml:space="preserve">ทั้งในด้าน </w:t>
      </w:r>
      <w:r w:rsidR="00176A34" w:rsidRPr="003B4BAA">
        <w:rPr>
          <w:rFonts w:asciiTheme="minorBidi" w:hAnsiTheme="minorBidi" w:cstheme="minorBidi"/>
          <w:sz w:val="28"/>
          <w:szCs w:val="28"/>
        </w:rPr>
        <w:t>Product and Service Innovation, Process I</w:t>
      </w:r>
      <w:r w:rsidR="00116DF0" w:rsidRPr="003B4BAA">
        <w:rPr>
          <w:rFonts w:asciiTheme="minorBidi" w:hAnsiTheme="minorBidi" w:cstheme="minorBidi"/>
          <w:sz w:val="28"/>
          <w:szCs w:val="28"/>
        </w:rPr>
        <w:t xml:space="preserve">nnovation </w:t>
      </w:r>
      <w:r w:rsidR="00116DF0" w:rsidRPr="003B4BAA">
        <w:rPr>
          <w:rFonts w:asciiTheme="minorBidi" w:hAnsiTheme="minorBidi" w:cstheme="minorBidi"/>
          <w:sz w:val="28"/>
          <w:szCs w:val="28"/>
          <w:cs/>
        </w:rPr>
        <w:t xml:space="preserve">และ </w:t>
      </w:r>
      <w:r w:rsidR="00176A34" w:rsidRPr="003B4BAA">
        <w:rPr>
          <w:rFonts w:asciiTheme="minorBidi" w:hAnsiTheme="minorBidi" w:cstheme="minorBidi"/>
          <w:sz w:val="28"/>
          <w:szCs w:val="28"/>
        </w:rPr>
        <w:t>Business Model I</w:t>
      </w:r>
      <w:r w:rsidR="00116DF0" w:rsidRPr="003B4BAA">
        <w:rPr>
          <w:rFonts w:asciiTheme="minorBidi" w:hAnsiTheme="minorBidi" w:cstheme="minorBidi"/>
          <w:sz w:val="28"/>
          <w:szCs w:val="28"/>
        </w:rPr>
        <w:t xml:space="preserve">nnovation </w:t>
      </w:r>
      <w:r w:rsidR="00116DF0" w:rsidRPr="003B4BAA">
        <w:rPr>
          <w:rFonts w:asciiTheme="minorBidi" w:hAnsiTheme="minorBidi" w:cstheme="minorBidi"/>
          <w:sz w:val="28"/>
          <w:szCs w:val="28"/>
          <w:cs/>
        </w:rPr>
        <w:t xml:space="preserve">ที่สามารถก่อให้เกิดประโยชน์ในทางธุรกิจอย่างเป็นรูปธรรม 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นอกจากนี้เอสซีจีมุงมั่นในการ</w:t>
      </w:r>
      <w:r w:rsidR="007563ED" w:rsidRPr="003B4BAA">
        <w:rPr>
          <w:rFonts w:asciiTheme="minorBidi" w:hAnsiTheme="minorBidi" w:cstheme="minorBidi"/>
          <w:sz w:val="28"/>
          <w:szCs w:val="28"/>
          <w:cs/>
        </w:rPr>
        <w:t>นำ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ทรัพย์สินทางปัญญามาเป็นกลยุทธ์ในการดำเนินธุรกิจอย่างจริงจัง</w:t>
      </w:r>
      <w:r w:rsidR="00116DF0" w:rsidRPr="003B4BA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ครอบคลุมการสร้าง (</w:t>
      </w:r>
      <w:r w:rsidR="009C4DEB" w:rsidRPr="003B4BAA">
        <w:rPr>
          <w:rFonts w:asciiTheme="minorBidi" w:hAnsiTheme="minorBidi" w:cstheme="minorBidi"/>
          <w:sz w:val="28"/>
          <w:szCs w:val="28"/>
        </w:rPr>
        <w:t>IP Creation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) การคุ้มครอง (</w:t>
      </w:r>
      <w:r w:rsidR="009C4DEB" w:rsidRPr="003B4BAA">
        <w:rPr>
          <w:rFonts w:asciiTheme="minorBidi" w:hAnsiTheme="minorBidi" w:cstheme="minorBidi"/>
          <w:sz w:val="28"/>
          <w:szCs w:val="28"/>
        </w:rPr>
        <w:t>IP Protection</w:t>
      </w:r>
      <w:r w:rsidR="009C4DEB" w:rsidRPr="003B4BAA">
        <w:rPr>
          <w:rFonts w:asciiTheme="minorBidi" w:hAnsiTheme="minorBidi" w:cstheme="minorBidi"/>
          <w:sz w:val="28"/>
          <w:szCs w:val="28"/>
          <w:cs/>
        </w:rPr>
        <w:t>) และการสร้างมูลค่าทางธุรกิจ (</w:t>
      </w:r>
      <w:r w:rsidR="008202B6" w:rsidRPr="003B4BAA">
        <w:rPr>
          <w:rFonts w:asciiTheme="minorBidi" w:hAnsiTheme="minorBidi" w:cstheme="minorBidi"/>
          <w:sz w:val="28"/>
          <w:szCs w:val="28"/>
        </w:rPr>
        <w:t>IP Commercialization</w:t>
      </w:r>
      <w:r w:rsidR="008202B6" w:rsidRPr="003B4BAA">
        <w:rPr>
          <w:rFonts w:asciiTheme="minorBidi" w:hAnsiTheme="minorBidi" w:cstheme="minorBidi"/>
          <w:sz w:val="28"/>
          <w:szCs w:val="28"/>
          <w:cs/>
        </w:rPr>
        <w:t>)</w:t>
      </w:r>
      <w:r w:rsidR="00C26911" w:rsidRPr="003B4BAA">
        <w:rPr>
          <w:rFonts w:asciiTheme="minorBidi" w:hAnsiTheme="minorBidi" w:cstheme="minorBidi"/>
          <w:sz w:val="28"/>
          <w:szCs w:val="28"/>
          <w:cs/>
        </w:rPr>
        <w:t xml:space="preserve">  </w:t>
      </w:r>
      <w:r w:rsidR="009C4DEB" w:rsidRPr="003B4BAA">
        <w:rPr>
          <w:rFonts w:asciiTheme="minorBidi" w:hAnsiTheme="minorBidi" w:cstheme="minorBidi"/>
          <w:b/>
          <w:bCs/>
          <w:sz w:val="28"/>
          <w:szCs w:val="28"/>
          <w:cs/>
        </w:rPr>
        <w:t>ซึ่งรางวัลดังกล่าวสะท้อนความเป็นผู้นำด้านการพัฒนานวัตกรรมและทรัพย์สินทางปัญญาของเอสซีจีในระดับภูมิภาคเอเชียอย่างแท้จริง</w:t>
      </w:r>
    </w:p>
    <w:sectPr w:rsidR="009047FE" w:rsidRPr="003B4BAA" w:rsidSect="001C6113">
      <w:pgSz w:w="12240" w:h="15840"/>
      <w:pgMar w:top="270" w:right="1260" w:bottom="5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CC4" w:rsidRDefault="006D4CC4" w:rsidP="0049423C">
      <w:r>
        <w:separator/>
      </w:r>
    </w:p>
  </w:endnote>
  <w:endnote w:type="continuationSeparator" w:id="0">
    <w:p w:rsidR="006D4CC4" w:rsidRDefault="006D4CC4" w:rsidP="0049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CC4" w:rsidRDefault="006D4CC4" w:rsidP="0049423C">
      <w:r>
        <w:separator/>
      </w:r>
    </w:p>
  </w:footnote>
  <w:footnote w:type="continuationSeparator" w:id="0">
    <w:p w:rsidR="006D4CC4" w:rsidRDefault="006D4CC4" w:rsidP="0049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60EAE"/>
    <w:multiLevelType w:val="hybridMultilevel"/>
    <w:tmpl w:val="123CD30A"/>
    <w:lvl w:ilvl="0" w:tplc="69822224"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3C"/>
    <w:rsid w:val="00016D74"/>
    <w:rsid w:val="000A1291"/>
    <w:rsid w:val="000C13F7"/>
    <w:rsid w:val="00116DF0"/>
    <w:rsid w:val="0012344D"/>
    <w:rsid w:val="001542A6"/>
    <w:rsid w:val="00176A34"/>
    <w:rsid w:val="001C6113"/>
    <w:rsid w:val="00242E91"/>
    <w:rsid w:val="00254ED2"/>
    <w:rsid w:val="0029557E"/>
    <w:rsid w:val="002C78DB"/>
    <w:rsid w:val="002F6197"/>
    <w:rsid w:val="00366416"/>
    <w:rsid w:val="00386E5C"/>
    <w:rsid w:val="003B4BAA"/>
    <w:rsid w:val="0049423C"/>
    <w:rsid w:val="004D4E2B"/>
    <w:rsid w:val="004F4959"/>
    <w:rsid w:val="005736E5"/>
    <w:rsid w:val="00597BF8"/>
    <w:rsid w:val="005E51E4"/>
    <w:rsid w:val="006149DB"/>
    <w:rsid w:val="00641993"/>
    <w:rsid w:val="006A229A"/>
    <w:rsid w:val="006B6260"/>
    <w:rsid w:val="006D3210"/>
    <w:rsid w:val="006D4CC4"/>
    <w:rsid w:val="007563ED"/>
    <w:rsid w:val="00764D2D"/>
    <w:rsid w:val="00787EA7"/>
    <w:rsid w:val="007B039A"/>
    <w:rsid w:val="00816910"/>
    <w:rsid w:val="008202B6"/>
    <w:rsid w:val="008B08F0"/>
    <w:rsid w:val="00902751"/>
    <w:rsid w:val="0090396B"/>
    <w:rsid w:val="009047FE"/>
    <w:rsid w:val="00925708"/>
    <w:rsid w:val="009557BB"/>
    <w:rsid w:val="009C4DEB"/>
    <w:rsid w:val="00AA0FC6"/>
    <w:rsid w:val="00B20386"/>
    <w:rsid w:val="00B62EA8"/>
    <w:rsid w:val="00BA4FC5"/>
    <w:rsid w:val="00BA6C69"/>
    <w:rsid w:val="00BF6E1A"/>
    <w:rsid w:val="00C26911"/>
    <w:rsid w:val="00C60565"/>
    <w:rsid w:val="00CC1781"/>
    <w:rsid w:val="00D55D44"/>
    <w:rsid w:val="00DE591A"/>
    <w:rsid w:val="00E10CDD"/>
    <w:rsid w:val="00E16E47"/>
    <w:rsid w:val="00E26DDA"/>
    <w:rsid w:val="00E4736C"/>
    <w:rsid w:val="00E93AD1"/>
    <w:rsid w:val="00EA5E34"/>
    <w:rsid w:val="00EB0419"/>
    <w:rsid w:val="00ED5C09"/>
    <w:rsid w:val="00EF7077"/>
    <w:rsid w:val="00F0361C"/>
    <w:rsid w:val="00F37360"/>
    <w:rsid w:val="00FA7200"/>
    <w:rsid w:val="00FA79FE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4134"/>
  <w15:chartTrackingRefBased/>
  <w15:docId w15:val="{DE4DB669-B575-4D5B-B719-4C27BF32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23C"/>
    <w:pPr>
      <w:spacing w:after="0" w:line="240" w:lineRule="auto"/>
    </w:pPr>
    <w:rPr>
      <w:rFonts w:ascii="Calibri" w:hAnsi="Calibri" w:cs="Calibri"/>
      <w:szCs w:val="22"/>
    </w:rPr>
  </w:style>
  <w:style w:type="paragraph" w:styleId="Heading1">
    <w:name w:val="heading 1"/>
    <w:basedOn w:val="Normal"/>
    <w:link w:val="Heading1Char"/>
    <w:uiPriority w:val="9"/>
    <w:qFormat/>
    <w:rsid w:val="005736E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23C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49423C"/>
  </w:style>
  <w:style w:type="paragraph" w:styleId="Footer">
    <w:name w:val="footer"/>
    <w:basedOn w:val="Normal"/>
    <w:link w:val="FooterChar"/>
    <w:uiPriority w:val="99"/>
    <w:unhideWhenUsed/>
    <w:rsid w:val="0049423C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49423C"/>
  </w:style>
  <w:style w:type="character" w:styleId="Hyperlink">
    <w:name w:val="Hyperlink"/>
    <w:basedOn w:val="DefaultParagraphFont"/>
    <w:uiPriority w:val="99"/>
    <w:semiHidden/>
    <w:unhideWhenUsed/>
    <w:rsid w:val="0049423C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36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EF7077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210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21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2F6197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Choavarit Kamonsatikul</dc:creator>
  <cp:keywords/>
  <dc:description/>
  <cp:lastModifiedBy>Wikarnda Mutitanont</cp:lastModifiedBy>
  <cp:revision>2</cp:revision>
  <cp:lastPrinted>2021-02-16T03:34:00Z</cp:lastPrinted>
  <dcterms:created xsi:type="dcterms:W3CDTF">2021-02-22T06:05:00Z</dcterms:created>
  <dcterms:modified xsi:type="dcterms:W3CDTF">2021-02-22T06:05:00Z</dcterms:modified>
</cp:coreProperties>
</file>